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14469">
      <w:pPr>
        <w:widowControl/>
        <w:adjustRightInd w:val="0"/>
        <w:snapToGrid w:val="0"/>
        <w:spacing w:line="300" w:lineRule="auto"/>
        <w:jc w:val="left"/>
        <w:rPr>
          <w:rFonts w:ascii="仿宋_GB2312" w:hAnsi="微软雅黑" w:eastAsia="仿宋_GB2312"/>
          <w:spacing w:val="-6"/>
          <w:sz w:val="28"/>
          <w:szCs w:val="28"/>
        </w:rPr>
      </w:pPr>
      <w:r>
        <w:rPr>
          <w:rFonts w:hint="eastAsia" w:ascii="仿宋_GB2312" w:hAnsi="微软雅黑" w:eastAsia="仿宋_GB2312"/>
          <w:spacing w:val="-6"/>
          <w:sz w:val="28"/>
          <w:szCs w:val="28"/>
        </w:rPr>
        <w:t>附件1：</w:t>
      </w:r>
    </w:p>
    <w:p w14:paraId="2B970BBC">
      <w:pPr>
        <w:adjustRightInd w:val="0"/>
        <w:snapToGrid w:val="0"/>
        <w:spacing w:line="300" w:lineRule="auto"/>
        <w:jc w:val="center"/>
        <w:rPr>
          <w:rFonts w:ascii="黑体" w:hAnsi="黑体" w:eastAsia="黑体"/>
          <w:sz w:val="36"/>
          <w:szCs w:val="36"/>
        </w:rPr>
      </w:pPr>
      <w:r>
        <w:rPr>
          <w:rFonts w:hint="eastAsia" w:ascii="黑体" w:hAnsi="黑体" w:eastAsia="黑体"/>
          <w:sz w:val="36"/>
          <w:szCs w:val="36"/>
        </w:rPr>
        <w:t>南通师范高等专科学校教学能力比赛</w:t>
      </w:r>
      <w:r>
        <w:rPr>
          <w:rFonts w:hint="eastAsia" w:ascii="黑体" w:hAnsi="黑体" w:eastAsia="黑体"/>
          <w:color w:val="141414"/>
          <w:sz w:val="36"/>
          <w:szCs w:val="36"/>
        </w:rPr>
        <w:t>方案</w:t>
      </w:r>
    </w:p>
    <w:p w14:paraId="5CAA037C">
      <w:pPr>
        <w:adjustRightInd w:val="0"/>
        <w:snapToGrid w:val="0"/>
        <w:spacing w:line="360" w:lineRule="auto"/>
        <w:ind w:firstLine="560" w:firstLineChars="200"/>
        <w:rPr>
          <w:rFonts w:ascii="仿宋_GB2312" w:hAnsi="微软雅黑" w:eastAsia="仿宋_GB2312"/>
          <w:sz w:val="28"/>
          <w:szCs w:val="28"/>
        </w:rPr>
      </w:pPr>
    </w:p>
    <w:p w14:paraId="0154A43C">
      <w:pPr>
        <w:adjustRightInd w:val="0"/>
        <w:snapToGrid w:val="0"/>
        <w:spacing w:line="360" w:lineRule="auto"/>
        <w:ind w:firstLine="560" w:firstLineChars="200"/>
        <w:rPr>
          <w:rFonts w:ascii="黑体" w:hAnsi="黑体" w:eastAsia="黑体"/>
          <w:bCs/>
          <w:sz w:val="28"/>
          <w:szCs w:val="28"/>
        </w:rPr>
      </w:pPr>
      <w:r>
        <w:rPr>
          <w:rFonts w:hint="eastAsia" w:ascii="黑体" w:hAnsi="黑体" w:eastAsia="黑体"/>
          <w:bCs/>
          <w:sz w:val="28"/>
          <w:szCs w:val="28"/>
        </w:rPr>
        <w:t>一、组织机构</w:t>
      </w:r>
    </w:p>
    <w:p w14:paraId="272D52C3">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校级教学能力比赛由教务处与各学院共同组织进行。有关比赛的具体安排部署由教务处牵头。</w:t>
      </w:r>
    </w:p>
    <w:p w14:paraId="10CCC8D4">
      <w:pPr>
        <w:adjustRightInd w:val="0"/>
        <w:snapToGrid w:val="0"/>
        <w:spacing w:line="360" w:lineRule="auto"/>
        <w:ind w:firstLine="560" w:firstLineChars="200"/>
        <w:rPr>
          <w:rFonts w:ascii="黑体" w:hAnsi="黑体" w:eastAsia="黑体"/>
          <w:bCs/>
          <w:sz w:val="28"/>
          <w:szCs w:val="28"/>
        </w:rPr>
      </w:pPr>
      <w:r>
        <w:rPr>
          <w:rFonts w:hint="eastAsia" w:ascii="黑体" w:hAnsi="黑体" w:eastAsia="黑体"/>
          <w:bCs/>
          <w:sz w:val="28"/>
          <w:szCs w:val="28"/>
        </w:rPr>
        <w:t>二、比赛分组</w:t>
      </w:r>
    </w:p>
    <w:p w14:paraId="2C41E69E">
      <w:pPr>
        <w:adjustRightInd w:val="0"/>
        <w:snapToGrid w:val="0"/>
        <w:spacing w:line="360" w:lineRule="auto"/>
        <w:ind w:firstLine="560" w:firstLineChars="200"/>
        <w:rPr>
          <w:rFonts w:ascii="仿宋_GB2312" w:hAnsi="微软雅黑" w:eastAsia="仿宋_GB2312"/>
          <w:b/>
          <w:bCs/>
          <w:sz w:val="28"/>
          <w:szCs w:val="28"/>
        </w:rPr>
      </w:pPr>
      <w:r>
        <w:rPr>
          <w:rFonts w:hint="eastAsia" w:ascii="仿宋_GB2312" w:hAnsi="微软雅黑" w:eastAsia="仿宋_GB2312"/>
          <w:sz w:val="28"/>
          <w:szCs w:val="28"/>
        </w:rPr>
        <w:t>比赛分为1</w:t>
      </w:r>
      <w:r>
        <w:rPr>
          <w:rFonts w:ascii="仿宋_GB2312" w:hAnsi="微软雅黑" w:eastAsia="仿宋_GB2312"/>
          <w:sz w:val="28"/>
          <w:szCs w:val="28"/>
        </w:rPr>
        <w:t>.</w:t>
      </w:r>
      <w:r>
        <w:rPr>
          <w:rFonts w:hint="eastAsia" w:ascii="仿宋_GB2312" w:hAnsi="微软雅黑" w:eastAsia="仿宋_GB2312"/>
          <w:sz w:val="28"/>
          <w:szCs w:val="28"/>
        </w:rPr>
        <w:t>公共基础课程；2</w:t>
      </w:r>
      <w:r>
        <w:rPr>
          <w:rFonts w:ascii="仿宋_GB2312" w:hAnsi="微软雅黑" w:eastAsia="仿宋_GB2312"/>
          <w:sz w:val="28"/>
          <w:szCs w:val="28"/>
        </w:rPr>
        <w:t>.</w:t>
      </w:r>
      <w:r>
        <w:rPr>
          <w:rFonts w:hint="eastAsia" w:ascii="仿宋_GB2312" w:hAnsi="微软雅黑" w:eastAsia="仿宋_GB2312"/>
          <w:sz w:val="28"/>
          <w:szCs w:val="28"/>
        </w:rPr>
        <w:t>专业课程一组；3</w:t>
      </w:r>
      <w:r>
        <w:rPr>
          <w:rFonts w:ascii="仿宋_GB2312" w:hAnsi="微软雅黑" w:eastAsia="仿宋_GB2312"/>
          <w:sz w:val="28"/>
          <w:szCs w:val="28"/>
        </w:rPr>
        <w:t>.</w:t>
      </w:r>
      <w:r>
        <w:rPr>
          <w:rFonts w:hint="eastAsia" w:ascii="仿宋_GB2312" w:hAnsi="微软雅黑" w:eastAsia="仿宋_GB2312"/>
          <w:sz w:val="28"/>
          <w:szCs w:val="28"/>
        </w:rPr>
        <w:t>专业课程二组；4</w:t>
      </w:r>
      <w:r>
        <w:rPr>
          <w:rFonts w:ascii="仿宋_GB2312" w:hAnsi="微软雅黑" w:eastAsia="仿宋_GB2312"/>
          <w:sz w:val="28"/>
          <w:szCs w:val="28"/>
        </w:rPr>
        <w:t>.</w:t>
      </w:r>
      <w:r>
        <w:rPr>
          <w:rFonts w:hint="eastAsia" w:ascii="仿宋_GB2312" w:hAnsi="微软雅黑" w:eastAsia="仿宋_GB2312"/>
          <w:sz w:val="28"/>
          <w:szCs w:val="28"/>
        </w:rPr>
        <w:t>思政课程组。五年制专业限后二年课程参赛。往届已参加过省赛及校赛的作品，未做重大修改不得参赛。每学院至少提交2组参赛作品。</w:t>
      </w:r>
      <w:r>
        <w:rPr>
          <w:rFonts w:hint="eastAsia" w:ascii="仿宋_GB2312" w:hAnsi="微软雅黑" w:eastAsia="仿宋_GB2312"/>
          <w:b/>
          <w:bCs/>
          <w:color w:val="auto"/>
          <w:sz w:val="28"/>
          <w:szCs w:val="28"/>
        </w:rPr>
        <w:t>思政课程组参赛要求参照全国高校思想政治理论课教学展示活动思政课教学竞赛单元相关规则，参赛对象仅限教学管理关系隶属于马克思主义学院的老师。</w:t>
      </w:r>
    </w:p>
    <w:p w14:paraId="7738F37B">
      <w:pPr>
        <w:adjustRightInd w:val="0"/>
        <w:snapToGrid w:val="0"/>
        <w:spacing w:line="360" w:lineRule="auto"/>
        <w:ind w:firstLine="560" w:firstLineChars="200"/>
        <w:rPr>
          <w:rFonts w:ascii="黑体" w:hAnsi="黑体" w:eastAsia="黑体"/>
          <w:bCs/>
          <w:sz w:val="28"/>
          <w:szCs w:val="28"/>
        </w:rPr>
      </w:pPr>
      <w:r>
        <w:rPr>
          <w:rFonts w:hint="eastAsia" w:ascii="黑体" w:hAnsi="黑体" w:eastAsia="黑体"/>
          <w:bCs/>
          <w:sz w:val="28"/>
          <w:szCs w:val="28"/>
        </w:rPr>
        <w:t>三、参赛对象</w:t>
      </w:r>
    </w:p>
    <w:p w14:paraId="5EE1A117">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参赛对象为全校教师，</w:t>
      </w:r>
      <w:r>
        <w:rPr>
          <w:rFonts w:hint="eastAsia" w:ascii="仿宋_GB2312" w:hAnsi="微软雅黑" w:eastAsia="仿宋_GB2312"/>
          <w:b/>
          <w:bCs/>
          <w:sz w:val="28"/>
          <w:szCs w:val="28"/>
        </w:rPr>
        <w:t>除思政课程组外，其他各组参赛对象</w:t>
      </w:r>
      <w:r>
        <w:rPr>
          <w:rFonts w:hint="eastAsia" w:ascii="仿宋_GB2312" w:hAnsi="微软雅黑" w:eastAsia="仿宋_GB2312"/>
          <w:sz w:val="28"/>
          <w:szCs w:val="28"/>
        </w:rPr>
        <w:t>必须以教学团队名义（</w:t>
      </w:r>
      <w:r>
        <w:rPr>
          <w:rFonts w:ascii="仿宋_GB2312" w:hAnsi="微软雅黑" w:eastAsia="仿宋_GB2312"/>
          <w:sz w:val="28"/>
          <w:szCs w:val="28"/>
        </w:rPr>
        <w:t>3</w:t>
      </w:r>
      <w:r>
        <w:rPr>
          <w:rFonts w:hint="eastAsia" w:ascii="仿宋_GB2312" w:hAnsi="微软雅黑" w:eastAsia="仿宋_GB2312"/>
          <w:sz w:val="28"/>
          <w:szCs w:val="28"/>
        </w:rPr>
        <w:t>-4人）参赛。每个教学团队由近3年内实际承担参赛课程或相关课程教学任务的教师组成；专业课程组的教学团队中“双师型”教师占比在50%以上；学校正式聘用的企业兼职教师可按要求参加专业课程组的比赛，数量不超过1名。</w:t>
      </w:r>
    </w:p>
    <w:p w14:paraId="10EDEB11">
      <w:pPr>
        <w:adjustRightInd w:val="0"/>
        <w:snapToGrid w:val="0"/>
        <w:spacing w:line="360" w:lineRule="auto"/>
        <w:ind w:firstLine="560" w:firstLineChars="200"/>
        <w:rPr>
          <w:rFonts w:ascii="黑体" w:hAnsi="黑体" w:eastAsia="黑体"/>
          <w:bCs/>
          <w:sz w:val="28"/>
          <w:szCs w:val="28"/>
        </w:rPr>
      </w:pPr>
      <w:r>
        <w:rPr>
          <w:rFonts w:hint="eastAsia" w:ascii="黑体" w:hAnsi="黑体" w:eastAsia="黑体"/>
          <w:bCs/>
          <w:sz w:val="28"/>
          <w:szCs w:val="28"/>
        </w:rPr>
        <w:t>四、作品要求</w:t>
      </w:r>
    </w:p>
    <w:p w14:paraId="125F9A62">
      <w:pPr>
        <w:adjustRightInd w:val="0"/>
        <w:snapToGrid w:val="0"/>
        <w:spacing w:line="360" w:lineRule="auto"/>
        <w:ind w:firstLine="562" w:firstLineChars="200"/>
        <w:rPr>
          <w:rFonts w:ascii="仿宋_GB2312" w:hAnsi="微软雅黑" w:eastAsia="仿宋_GB2312"/>
          <w:b/>
          <w:sz w:val="28"/>
          <w:szCs w:val="28"/>
        </w:rPr>
      </w:pPr>
      <w:r>
        <w:rPr>
          <w:rFonts w:hint="eastAsia" w:ascii="仿宋_GB2312" w:hAnsi="微软雅黑" w:eastAsia="仿宋_GB2312"/>
          <w:b/>
          <w:sz w:val="28"/>
          <w:szCs w:val="28"/>
        </w:rPr>
        <w:t>（一）总体要求：</w:t>
      </w:r>
    </w:p>
    <w:p w14:paraId="78B265B5">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重点考察教学团队针对某门课程中部分教学内容，完成教学设计、实施课堂教学、达成教学目标、进行反思改进的能力。</w:t>
      </w:r>
    </w:p>
    <w:p w14:paraId="6EF4D539">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1.公共基础课程：参赛的教学内容应不少于12学时(不含思想政治类课程)。</w:t>
      </w:r>
    </w:p>
    <w:p w14:paraId="41A4F14E">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2.专业课程一组：参赛的教学内容应不少于16学时，参赛课程应为专业基础课、专业核心课或专业拓展（选修）课。</w:t>
      </w:r>
    </w:p>
    <w:p w14:paraId="6FCA1214">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3.专业课程二组：参赛的教学内容应不少于16学时，其中体现教师实操演示与指导的内容不少于8学时。参赛课程为专业核心课或专业拓展（选修）课，或专周实习实训、岗位实习等实践教学环节。</w:t>
      </w:r>
    </w:p>
    <w:p w14:paraId="2F7BD7CB">
      <w:pPr>
        <w:adjustRightInd w:val="0"/>
        <w:snapToGrid w:val="0"/>
        <w:spacing w:line="360" w:lineRule="auto"/>
        <w:ind w:firstLine="562" w:firstLineChars="200"/>
        <w:rPr>
          <w:rFonts w:ascii="仿宋_GB2312" w:hAnsi="微软雅黑" w:eastAsia="仿宋_GB2312"/>
          <w:b/>
          <w:sz w:val="28"/>
          <w:szCs w:val="28"/>
        </w:rPr>
      </w:pPr>
      <w:r>
        <w:rPr>
          <w:rFonts w:hint="eastAsia" w:ascii="仿宋_GB2312" w:hAnsi="微软雅黑" w:eastAsia="仿宋_GB2312"/>
          <w:b/>
          <w:sz w:val="28"/>
          <w:szCs w:val="28"/>
        </w:rPr>
        <w:t>（二）具体要求</w:t>
      </w:r>
    </w:p>
    <w:p w14:paraId="3D12496F">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1.教学内容：根据职业教育国家教学标准和相关文件要求，对接职业标准（规范）、职业技能等级标准等，公共基础课程内容体现学科知识与行业（或职业）应用场景的融合。专业课程内容体现专业升级和数字化转型、绿色化改造，鼓励按照生产实际和岗位需求设计模块化课程。注重劳动精神、工匠精神、劳模精神培育。</w:t>
      </w:r>
    </w:p>
    <w:p w14:paraId="0197F421">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2</w:t>
      </w:r>
      <w:r>
        <w:rPr>
          <w:rFonts w:ascii="仿宋_GB2312" w:hAnsi="微软雅黑" w:eastAsia="仿宋_GB2312"/>
          <w:bCs/>
          <w:sz w:val="28"/>
          <w:szCs w:val="28"/>
        </w:rPr>
        <w:t>.</w:t>
      </w:r>
      <w:r>
        <w:rPr>
          <w:rFonts w:hint="eastAsia" w:ascii="仿宋_GB2312" w:hAnsi="微软雅黑" w:eastAsia="仿宋_GB2312"/>
          <w:bCs/>
          <w:sz w:val="28"/>
          <w:szCs w:val="28"/>
        </w:rPr>
        <w:t>教学设计：依据国家教学标准、学校专业人才培养方案和课程标准，针对参赛教学内容，进行学情分析，确定教学目标，制定教学策略，优化教学过程。针对不同生源分类施教、因材施教。合理运用平台、技术、方法和资源等组织课堂教学。提高课程思政内涵融入课堂教学的水平，杜绝各种形式主义。专业课程鼓励实施项目式、任务式、案例式、情境化教学。</w:t>
      </w:r>
    </w:p>
    <w:p w14:paraId="3D7D506F">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3</w:t>
      </w:r>
      <w:r>
        <w:rPr>
          <w:rFonts w:ascii="仿宋_GB2312" w:hAnsi="微软雅黑" w:eastAsia="仿宋_GB2312"/>
          <w:bCs/>
          <w:sz w:val="28"/>
          <w:szCs w:val="28"/>
        </w:rPr>
        <w:t>.</w:t>
      </w:r>
      <w:r>
        <w:rPr>
          <w:rFonts w:hint="eastAsia" w:ascii="仿宋_GB2312" w:hAnsi="微软雅黑" w:eastAsia="仿宋_GB2312"/>
          <w:bCs/>
          <w:sz w:val="28"/>
          <w:szCs w:val="28"/>
        </w:rPr>
        <w:t>教学实施：注重深度学习，提高学生基于任务（项目）的分析和解决问题能力；采用现代信息技术收集教学过程真实数据，并根据反映出的问题适时调整教学策略。按照《职业院校教材管理办法》要求规范选用教材，鼓励使用新型活页式、工作手册式教材和数字教材。</w:t>
      </w:r>
    </w:p>
    <w:p w14:paraId="0B837FE1">
      <w:pPr>
        <w:adjustRightInd w:val="0"/>
        <w:snapToGrid w:val="0"/>
        <w:spacing w:line="360" w:lineRule="auto"/>
        <w:ind w:firstLine="560" w:firstLineChars="200"/>
        <w:rPr>
          <w:rFonts w:ascii="仿宋_GB2312" w:hAnsi="微软雅黑" w:eastAsia="仿宋_GB2312"/>
          <w:bCs/>
          <w:sz w:val="28"/>
          <w:szCs w:val="28"/>
        </w:rPr>
      </w:pPr>
      <w:r>
        <w:rPr>
          <w:rFonts w:hint="eastAsia" w:ascii="仿宋_GB2312" w:hAnsi="微软雅黑" w:eastAsia="仿宋_GB2312"/>
          <w:bCs/>
          <w:sz w:val="28"/>
          <w:szCs w:val="28"/>
        </w:rPr>
        <w:t>4</w:t>
      </w:r>
      <w:r>
        <w:rPr>
          <w:rFonts w:ascii="仿宋_GB2312" w:hAnsi="微软雅黑" w:eastAsia="仿宋_GB2312"/>
          <w:bCs/>
          <w:sz w:val="28"/>
          <w:szCs w:val="28"/>
        </w:rPr>
        <w:t>.</w:t>
      </w:r>
      <w:r>
        <w:rPr>
          <w:rFonts w:hint="eastAsia" w:ascii="仿宋_GB2312" w:hAnsi="微软雅黑" w:eastAsia="仿宋_GB2312"/>
          <w:bCs/>
          <w:sz w:val="28"/>
          <w:szCs w:val="28"/>
        </w:rPr>
        <w:t>教学评价：聚焦教学目标达成，关注学生全面成长，重点考核学生分析解决实际问题的能力。注重过程评价与结果评价相结合，探索增值评价，健全综合评价；鼓励运用大数据、人工智能等现代信息技术开展学习行为的精准分析，个性化评价学生的学习成果和学习成效。</w:t>
      </w:r>
    </w:p>
    <w:p w14:paraId="4ECD999A">
      <w:pPr>
        <w:adjustRightInd w:val="0"/>
        <w:snapToGrid w:val="0"/>
        <w:spacing w:line="360" w:lineRule="auto"/>
        <w:ind w:firstLine="560" w:firstLineChars="200"/>
        <w:rPr>
          <w:rFonts w:ascii="仿宋_GB2312" w:hAnsi="微软雅黑" w:eastAsia="仿宋_GB2312"/>
          <w:bCs/>
          <w:sz w:val="28"/>
          <w:szCs w:val="28"/>
        </w:rPr>
      </w:pPr>
      <w:r>
        <w:rPr>
          <w:rFonts w:ascii="仿宋_GB2312" w:hAnsi="微软雅黑" w:eastAsia="仿宋_GB2312"/>
          <w:bCs/>
          <w:sz w:val="28"/>
          <w:szCs w:val="28"/>
        </w:rPr>
        <w:t>5.</w:t>
      </w:r>
      <w:r>
        <w:rPr>
          <w:rFonts w:hint="eastAsia" w:ascii="仿宋_GB2312" w:hAnsi="微软雅黑" w:eastAsia="仿宋_GB2312"/>
          <w:bCs/>
          <w:sz w:val="28"/>
          <w:szCs w:val="28"/>
        </w:rPr>
        <w:t>教学反思：深度思考在教学设计、教学实施、教学评价过程中的经验与不足，总结在更新教育理念、落实课程思政、优化教学内容、创新教学模式、转变教师角色、改进教学评价、运用信息技术、培育数字素养等方面的改革与创新，做到设计理念、教学实施、育人成效的有机统一。</w:t>
      </w:r>
    </w:p>
    <w:p w14:paraId="408A91FF">
      <w:pPr>
        <w:adjustRightInd w:val="0"/>
        <w:snapToGrid w:val="0"/>
        <w:spacing w:line="360" w:lineRule="auto"/>
        <w:ind w:firstLine="560" w:firstLineChars="200"/>
        <w:rPr>
          <w:rFonts w:ascii="黑体" w:hAnsi="黑体" w:eastAsia="黑体"/>
          <w:bCs/>
          <w:sz w:val="28"/>
          <w:szCs w:val="28"/>
        </w:rPr>
      </w:pPr>
      <w:r>
        <w:rPr>
          <w:rFonts w:hint="eastAsia" w:ascii="黑体" w:hAnsi="黑体" w:eastAsia="黑体"/>
          <w:bCs/>
          <w:sz w:val="28"/>
          <w:szCs w:val="28"/>
        </w:rPr>
        <w:t>五、作品规格</w:t>
      </w:r>
    </w:p>
    <w:p w14:paraId="1F0FB071">
      <w:pPr>
        <w:adjustRightInd w:val="0"/>
        <w:snapToGrid w:val="0"/>
        <w:spacing w:line="360" w:lineRule="auto"/>
        <w:ind w:firstLine="562" w:firstLineChars="200"/>
        <w:rPr>
          <w:rFonts w:ascii="仿宋_GB2312" w:hAnsi="微软雅黑" w:eastAsia="仿宋_GB2312"/>
          <w:b/>
          <w:sz w:val="28"/>
          <w:szCs w:val="28"/>
        </w:rPr>
      </w:pPr>
      <w:r>
        <w:rPr>
          <w:rFonts w:hint="eastAsia" w:ascii="仿宋_GB2312" w:hAnsi="微软雅黑" w:eastAsia="仿宋_GB2312"/>
          <w:b/>
          <w:sz w:val="28"/>
          <w:szCs w:val="28"/>
        </w:rPr>
        <w:t>（一）文档材料</w:t>
      </w:r>
    </w:p>
    <w:p w14:paraId="37F0997F">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所有文档材料均要求规范、简明、完整、朴实，正文使用小四号字、1.5倍行距，禁用以装饰为目的的图片或照片，以PDF格式提交，每个文件大小不超过100M。</w:t>
      </w:r>
    </w:p>
    <w:p w14:paraId="243D6AB1">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1</w:t>
      </w:r>
      <w:r>
        <w:rPr>
          <w:rFonts w:ascii="仿宋_GB2312" w:hAnsi="微软雅黑" w:eastAsia="仿宋_GB2312"/>
          <w:sz w:val="28"/>
          <w:szCs w:val="28"/>
        </w:rPr>
        <w:t>.</w:t>
      </w:r>
      <w:r>
        <w:rPr>
          <w:rFonts w:hint="eastAsia" w:ascii="仿宋_GB2312" w:hAnsi="微软雅黑" w:eastAsia="仿宋_GB2312"/>
          <w:sz w:val="28"/>
          <w:szCs w:val="28"/>
        </w:rPr>
        <w:t>教案</w:t>
      </w:r>
    </w:p>
    <w:p w14:paraId="6332BBB3">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教学团队根据提交的专业人才培养方案和课程标准（或部颁课程标准实施方案），选取该课程在一个学期中符合规定的教学内容，撰写实际使用的教案。教案应包括授课信息、内容分析、学情分析、教学目标、教学策略、教学活动安排、课后反思等教学基本要素，其中课中教学活动安排占主要篇幅，体现具体的教学内容、活动及时间分配，能够有效指导教学实施，课后对授课实效、改革创新、存在不足及改进设想进行客观深入反思。原则上每份教案的教学时长不超过2学时，专周实习实训、岗位实习，以及有场地设备特殊要求的实训教学内容可连续安排3-4学时。每次课的教案按序逐一标明序号，合并为一个文件提交。</w:t>
      </w:r>
    </w:p>
    <w:p w14:paraId="2C57B318">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2</w:t>
      </w:r>
      <w:r>
        <w:rPr>
          <w:rFonts w:ascii="仿宋_GB2312" w:hAnsi="微软雅黑" w:eastAsia="仿宋_GB2312"/>
          <w:sz w:val="28"/>
          <w:szCs w:val="28"/>
        </w:rPr>
        <w:t>.</w:t>
      </w:r>
      <w:r>
        <w:rPr>
          <w:rFonts w:hint="eastAsia" w:ascii="仿宋_GB2312" w:hAnsi="微软雅黑" w:eastAsia="仿宋_GB2312"/>
          <w:sz w:val="28"/>
          <w:szCs w:val="28"/>
        </w:rPr>
        <w:t>教学实施报告</w:t>
      </w:r>
    </w:p>
    <w:p w14:paraId="3B7E7D3B">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教学团队针对本课程教学实践中的问题开展研究和实践，完成教学设计、实施课堂教学，撰写1份教学实施报告。报告应总结参赛内容的教学整体设计、教学实施过程、学生学习效果、反思改进措施等方面情况，可用图表加以佐证。中文字符在5000字以内（文末注明正文“中文字符统计数”），插入的图表应有针对性、有效性，文字清晰可见，图表合计不超过12张，单张图表原则上不超过半页。</w:t>
      </w:r>
    </w:p>
    <w:p w14:paraId="7E970E48">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3</w:t>
      </w:r>
      <w:r>
        <w:rPr>
          <w:rFonts w:ascii="仿宋_GB2312" w:hAnsi="微软雅黑" w:eastAsia="仿宋_GB2312"/>
          <w:sz w:val="28"/>
          <w:szCs w:val="28"/>
        </w:rPr>
        <w:t>.</w:t>
      </w:r>
      <w:r>
        <w:rPr>
          <w:rFonts w:hint="eastAsia" w:ascii="仿宋_GB2312" w:hAnsi="微软雅黑" w:eastAsia="仿宋_GB2312"/>
          <w:sz w:val="28"/>
          <w:szCs w:val="28"/>
        </w:rPr>
        <w:t>专业人才培养方案</w:t>
      </w:r>
    </w:p>
    <w:p w14:paraId="040BD5CC">
      <w:pPr>
        <w:adjustRightInd w:val="0"/>
        <w:snapToGrid w:val="0"/>
        <w:spacing w:line="360" w:lineRule="auto"/>
        <w:ind w:firstLine="560" w:firstLineChars="200"/>
        <w:rPr>
          <w:rFonts w:hint="eastAsia" w:ascii="仿宋_GB2312" w:hAnsi="微软雅黑" w:eastAsia="仿宋_GB2312"/>
          <w:sz w:val="28"/>
          <w:szCs w:val="28"/>
          <w:lang w:eastAsia="zh-CN"/>
        </w:rPr>
      </w:pPr>
      <w:r>
        <w:rPr>
          <w:rFonts w:hint="eastAsia" w:ascii="仿宋_GB2312" w:hAnsi="微软雅黑" w:eastAsia="仿宋_GB2312"/>
          <w:sz w:val="28"/>
          <w:szCs w:val="28"/>
        </w:rPr>
        <w:t>教学团队提交学校及时修订和实际使用的专业人才培养方案。专业人才培养方案应按照《教育部关于职业院校专业人才培养方案制订与实施工作的指导意见》（教职成〔2019〕13号）《关于组织做好职业院校专业人才培养方案制订与实施工作的通知》（教职成司函〔2019〕61号）《教育部关于印发〈职业教育专业目录（2021年）〉的通知》（教职成〔2021〕2号）和《职业教育专业简介（2022年修订）》有关要求制定或修订。公共基础课程组只需提交授课班级所在专业的人才培养方案</w:t>
      </w:r>
      <w:r>
        <w:rPr>
          <w:rFonts w:hint="eastAsia" w:ascii="仿宋_GB2312" w:hAnsi="微软雅黑" w:eastAsia="仿宋_GB2312"/>
          <w:sz w:val="28"/>
          <w:szCs w:val="28"/>
          <w:lang w:eastAsia="zh-CN"/>
        </w:rPr>
        <w:t>。</w:t>
      </w:r>
    </w:p>
    <w:p w14:paraId="5515AD7A">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4</w:t>
      </w:r>
      <w:r>
        <w:rPr>
          <w:rFonts w:ascii="仿宋_GB2312" w:hAnsi="微软雅黑" w:eastAsia="仿宋_GB2312"/>
          <w:sz w:val="28"/>
          <w:szCs w:val="28"/>
        </w:rPr>
        <w:t>.</w:t>
      </w:r>
      <w:r>
        <w:rPr>
          <w:rFonts w:hint="eastAsia" w:ascii="仿宋_GB2312" w:hAnsi="微软雅黑" w:eastAsia="仿宋_GB2312"/>
          <w:sz w:val="28"/>
          <w:szCs w:val="28"/>
        </w:rPr>
        <w:t>课程标准</w:t>
      </w:r>
    </w:p>
    <w:p w14:paraId="3BAD0E44">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公共基础课应执行教育部2020年、2021年印发的相应课程标准，参赛团队须提交执行部颁课程标准的实施方案，对课标中未覆盖的部分（如基础模块的职场情境任务、拓展模块的具体内容、各模块的授课进程安排等）予以重点说明。在提交的课程标准（或实施方案）中，应另附参赛班级授课计划表（注明授课日期、学时）。</w:t>
      </w:r>
    </w:p>
    <w:p w14:paraId="5C950F1B">
      <w:pPr>
        <w:adjustRightInd w:val="0"/>
        <w:snapToGrid w:val="0"/>
        <w:spacing w:line="360" w:lineRule="auto"/>
        <w:ind w:firstLine="562" w:firstLineChars="200"/>
        <w:rPr>
          <w:rFonts w:ascii="仿宋_GB2312" w:hAnsi="微软雅黑" w:eastAsia="仿宋_GB2312"/>
          <w:b/>
          <w:sz w:val="28"/>
          <w:szCs w:val="28"/>
        </w:rPr>
      </w:pPr>
      <w:r>
        <w:rPr>
          <w:rFonts w:hint="eastAsia" w:ascii="仿宋_GB2312" w:hAnsi="微软雅黑" w:eastAsia="仿宋_GB2312"/>
          <w:b/>
          <w:sz w:val="28"/>
          <w:szCs w:val="28"/>
        </w:rPr>
        <w:t>（二）视频材料</w:t>
      </w:r>
    </w:p>
    <w:p w14:paraId="5D716156">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教学团队按照教学设计实施课堂教学（或专周实习实训、岗位实习教学），每人录制1学时（具体时长与教案中的学时安排保持一致）的课堂教学视频。课堂教学应在实际教学场所，班级全体学生参加（实施分班教学需有说明）。课堂教学视频应呈现课程属性特质、反映团队成员教学风格。专业课程二组至少有2个视频呈现教师实操演示与教学指导。课堂实录视频须采用单机位全程连续录制，机位固定，不另行剪辑及配音，不加片头片尾、字幕注解。视频采用MP4格式封装，单个视频文件大小不超过500M。每段视频文件以“教案序号+第几学时+教案页码+教学环节名称”来命名（其中教案页码以教案PDF文件顶部显示的页码为准），含教师实操演示与教学指导的视频文件以“教案序号+第几学时+教案页码+教学环节名称+实操起始时间n'm"-实操结束时间n'm"”来命名（实操起止时间可以多段，用“+”连接）。</w:t>
      </w:r>
    </w:p>
    <w:p w14:paraId="61B01AF9">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视频录制采用H.264/AVC编码格式压缩，动态比特率（码流）不低于1024Kbps，分辨率设定为1280*720，采用逐行扫描，帧速率为25帧/秒。音频采用AAC格式压缩，采样率48KHz，比特率（码流）128Kbps(恒定)。</w:t>
      </w:r>
    </w:p>
    <w:p w14:paraId="3C07B087">
      <w:pPr>
        <w:adjustRightInd w:val="0"/>
        <w:snapToGrid w:val="0"/>
        <w:spacing w:line="360" w:lineRule="auto"/>
        <w:ind w:firstLine="560" w:firstLineChars="200"/>
        <w:rPr>
          <w:rFonts w:ascii="黑体" w:hAnsi="黑体" w:eastAsia="黑体"/>
          <w:bCs/>
          <w:sz w:val="28"/>
          <w:szCs w:val="28"/>
        </w:rPr>
      </w:pPr>
      <w:r>
        <w:rPr>
          <w:rFonts w:hint="eastAsia" w:ascii="黑体" w:hAnsi="黑体" w:eastAsia="黑体"/>
          <w:bCs/>
          <w:sz w:val="28"/>
          <w:szCs w:val="28"/>
        </w:rPr>
        <w:t>六、奖项设置</w:t>
      </w:r>
    </w:p>
    <w:p w14:paraId="0E0BFE5E">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教学能力比赛按比例设奖，一等奖占参赛作品总数10%，二等奖占20%，三等奖占30%。获奖名单经教务处公示并报校长室审定后公布。思政课程组报名组数少于</w:t>
      </w:r>
      <w:r>
        <w:rPr>
          <w:rFonts w:ascii="仿宋_GB2312" w:hAnsi="微软雅黑" w:eastAsia="仿宋_GB2312"/>
          <w:sz w:val="28"/>
          <w:szCs w:val="28"/>
        </w:rPr>
        <w:t>6</w:t>
      </w:r>
      <w:r>
        <w:rPr>
          <w:rFonts w:hint="eastAsia" w:ascii="仿宋_GB2312" w:hAnsi="微软雅黑" w:eastAsia="仿宋_GB2312"/>
          <w:sz w:val="28"/>
          <w:szCs w:val="28"/>
        </w:rPr>
        <w:t>组的，只设二、三等奖奖项；少于</w:t>
      </w:r>
      <w:r>
        <w:rPr>
          <w:rFonts w:ascii="仿宋_GB2312" w:hAnsi="微软雅黑" w:eastAsia="仿宋_GB2312"/>
          <w:sz w:val="28"/>
          <w:szCs w:val="28"/>
        </w:rPr>
        <w:t>3</w:t>
      </w:r>
      <w:r>
        <w:rPr>
          <w:rFonts w:hint="eastAsia" w:ascii="仿宋_GB2312" w:hAnsi="微软雅黑" w:eastAsia="仿宋_GB2312"/>
          <w:sz w:val="28"/>
          <w:szCs w:val="28"/>
        </w:rPr>
        <w:t>组的，只设三等奖奖项。其中部分优秀作品将推荐参加省赛。</w:t>
      </w:r>
      <w:r>
        <w:rPr>
          <w:rFonts w:hint="eastAsia" w:ascii="仿宋_GB2312" w:hAnsi="微软雅黑" w:eastAsia="仿宋_GB2312"/>
          <w:sz w:val="28"/>
          <w:szCs w:val="28"/>
          <w:lang w:val="en-US" w:eastAsia="zh-CN"/>
        </w:rPr>
        <w:t>推荐参加省赛</w:t>
      </w:r>
      <w:r>
        <w:rPr>
          <w:rFonts w:hint="eastAsia" w:ascii="仿宋_GB2312" w:hAnsi="微软雅黑" w:eastAsia="仿宋_GB2312"/>
          <w:sz w:val="28"/>
          <w:szCs w:val="28"/>
        </w:rPr>
        <w:t>的优秀作品如因</w:t>
      </w:r>
      <w:r>
        <w:rPr>
          <w:rFonts w:hint="eastAsia" w:ascii="仿宋_GB2312" w:hAnsi="微软雅黑" w:eastAsia="仿宋_GB2312"/>
          <w:sz w:val="28"/>
          <w:szCs w:val="28"/>
          <w:lang w:val="en-US" w:eastAsia="zh-CN"/>
        </w:rPr>
        <w:t>团队成员</w:t>
      </w:r>
      <w:r>
        <w:rPr>
          <w:rFonts w:hint="eastAsia" w:ascii="仿宋_GB2312" w:hAnsi="微软雅黑" w:eastAsia="仿宋_GB2312"/>
          <w:sz w:val="28"/>
          <w:szCs w:val="28"/>
        </w:rPr>
        <w:t>年龄、职称等未达到国省赛标准，可以适当调整个别选手，或鼓励同类课程优秀作品选手重新组合，强强联手。</w:t>
      </w:r>
    </w:p>
    <w:p w14:paraId="7D2A0F05">
      <w:pPr>
        <w:adjustRightInd w:val="0"/>
        <w:snapToGrid w:val="0"/>
        <w:spacing w:line="360" w:lineRule="auto"/>
        <w:ind w:firstLine="560" w:firstLineChars="200"/>
        <w:rPr>
          <w:rFonts w:ascii="黑体" w:hAnsi="黑体" w:eastAsia="黑体"/>
          <w:bCs/>
          <w:sz w:val="28"/>
          <w:szCs w:val="28"/>
        </w:rPr>
      </w:pPr>
      <w:r>
        <w:rPr>
          <w:rFonts w:hint="eastAsia" w:ascii="黑体" w:hAnsi="黑体" w:eastAsia="黑体"/>
          <w:bCs/>
          <w:sz w:val="28"/>
          <w:szCs w:val="28"/>
        </w:rPr>
        <w:t>七、注意事项</w:t>
      </w:r>
    </w:p>
    <w:p w14:paraId="518F3FD5">
      <w:pPr>
        <w:adjustRightInd w:val="0"/>
        <w:snapToGrid w:val="0"/>
        <w:spacing w:line="360" w:lineRule="auto"/>
        <w:ind w:firstLine="560" w:firstLineChars="200"/>
        <w:rPr>
          <w:rFonts w:hint="eastAsia" w:ascii="仿宋_GB2312" w:hAnsi="微软雅黑" w:eastAsia="仿宋_GB2312"/>
          <w:bCs/>
          <w:sz w:val="28"/>
          <w:szCs w:val="28"/>
        </w:rPr>
      </w:pPr>
      <w:r>
        <w:rPr>
          <w:rFonts w:hint="eastAsia" w:ascii="仿宋_GB2312" w:hAnsi="微软雅黑" w:eastAsia="仿宋_GB2312"/>
          <w:sz w:val="28"/>
          <w:szCs w:val="28"/>
        </w:rPr>
        <w:t>1.</w:t>
      </w:r>
      <w:r>
        <w:rPr>
          <w:rFonts w:hint="eastAsia" w:ascii="仿宋_GB2312" w:hAnsi="微软雅黑" w:eastAsia="仿宋_GB2312"/>
          <w:sz w:val="28"/>
          <w:szCs w:val="28"/>
          <w:lang w:val="en-US" w:eastAsia="zh-CN"/>
        </w:rPr>
        <w:t>9月1日前完成组队，提交参赛报名表；10月30日前提交</w:t>
      </w:r>
      <w:r>
        <w:rPr>
          <w:rFonts w:hint="eastAsia" w:ascii="仿宋_GB2312" w:hAnsi="微软雅黑" w:eastAsia="仿宋_GB2312"/>
          <w:sz w:val="28"/>
          <w:szCs w:val="28"/>
        </w:rPr>
        <w:t>参赛作品材料</w:t>
      </w:r>
      <w:r>
        <w:rPr>
          <w:rFonts w:hint="eastAsia" w:ascii="仿宋_GB2312" w:hAnsi="微软雅黑" w:eastAsia="仿宋_GB2312"/>
          <w:sz w:val="28"/>
          <w:szCs w:val="28"/>
          <w:lang w:eastAsia="zh-CN"/>
        </w:rPr>
        <w:t>。</w:t>
      </w:r>
      <w:r>
        <w:rPr>
          <w:rFonts w:hint="eastAsia" w:ascii="仿宋_GB2312" w:hAnsi="微软雅黑" w:eastAsia="仿宋_GB2312"/>
          <w:sz w:val="28"/>
          <w:szCs w:val="28"/>
          <w:lang w:val="en-US" w:eastAsia="zh-CN"/>
        </w:rPr>
        <w:t>请各学院统一组织，分别打包发送至教务处教学能力大赛专用邮箱</w:t>
      </w:r>
      <w:r>
        <w:rPr>
          <w:rFonts w:hint="eastAsia" w:ascii="仿宋_GB2312" w:hAnsi="微软雅黑" w:eastAsia="仿宋_GB2312"/>
          <w:sz w:val="28"/>
          <w:szCs w:val="28"/>
        </w:rPr>
        <w:t>401010792@qq.com</w:t>
      </w:r>
      <w:r>
        <w:rPr>
          <w:rFonts w:hint="eastAsia" w:ascii="仿宋_GB2312" w:hAnsi="微软雅黑" w:eastAsia="仿宋_GB2312"/>
          <w:bCs/>
          <w:sz w:val="28"/>
          <w:szCs w:val="28"/>
        </w:rPr>
        <w:t>。</w:t>
      </w:r>
    </w:p>
    <w:p w14:paraId="7F90A285">
      <w:pPr>
        <w:adjustRightInd w:val="0"/>
        <w:snapToGrid w:val="0"/>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2.比赛采取匿名方式进行，除报名表之外，其他参赛资料的任何地方不得出现学校和教师的信息。</w:t>
      </w:r>
    </w:p>
    <w:p w14:paraId="63DA9602">
      <w:pPr>
        <w:adjustRightInd w:val="0"/>
        <w:snapToGrid w:val="0"/>
        <w:spacing w:line="360" w:lineRule="auto"/>
        <w:ind w:firstLine="560" w:firstLineChars="200"/>
        <w:rPr>
          <w:rFonts w:hint="default" w:ascii="仿宋_GB2312" w:hAnsi="微软雅黑" w:eastAsia="仿宋_GB2312"/>
          <w:sz w:val="28"/>
          <w:szCs w:val="28"/>
          <w:lang w:val="en-US" w:eastAsia="zh-CN"/>
        </w:rPr>
      </w:pPr>
      <w:r>
        <w:rPr>
          <w:rFonts w:ascii="仿宋_GB2312" w:hAnsi="微软雅黑" w:eastAsia="仿宋_GB2312"/>
          <w:sz w:val="28"/>
          <w:szCs w:val="28"/>
        </w:rPr>
        <w:t>3.</w:t>
      </w:r>
      <w:r>
        <w:rPr>
          <w:rFonts w:hint="eastAsia" w:ascii="仿宋_GB2312" w:hAnsi="微软雅黑" w:eastAsia="仿宋_GB2312"/>
          <w:sz w:val="28"/>
          <w:szCs w:val="28"/>
        </w:rPr>
        <w:t>有省赛、国赛参赛意愿的团队，要认真研读国赛标准，在团队组建和作品规格上与国赛要求提前对接。</w:t>
      </w: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D2FB">
    <w:pPr>
      <w:pStyle w:val="2"/>
      <w:jc w:val="center"/>
    </w:pPr>
    <w:r>
      <w:fldChar w:fldCharType="begin"/>
    </w:r>
    <w:r>
      <w:instrText xml:space="preserve"> PAGE   \* MERGEFORMAT </w:instrText>
    </w:r>
    <w:r>
      <w:fldChar w:fldCharType="separate"/>
    </w:r>
    <w:r>
      <w:rPr>
        <w:lang w:val="zh-CN"/>
      </w:rPr>
      <w:t>5</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GUzOTE5MmZmMDk2NDdjZDFlMWIyMGQyZGM5MTUifQ=="/>
  </w:docVars>
  <w:rsids>
    <w:rsidRoot w:val="5CAD0D3F"/>
    <w:rsid w:val="007E6896"/>
    <w:rsid w:val="3AEE643E"/>
    <w:rsid w:val="5CAD0D3F"/>
    <w:rsid w:val="75F3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3429</Words>
  <Characters>3586</Characters>
  <Lines>0</Lines>
  <Paragraphs>0</Paragraphs>
  <TotalTime>0</TotalTime>
  <ScaleCrop>false</ScaleCrop>
  <LinksUpToDate>false</LinksUpToDate>
  <CharactersWithSpaces>3597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2024-08-28T01:00:00Z</dcterms:created>
  <dc:creator>善衍</dc:creator>
  <cp:lastModifiedBy>善衍</cp:lastModifiedBy>
  <dcterms:modified xsi:type="dcterms:W3CDTF">2024-08-28T02:18:17Z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53A71D5E4CD1468281066C562AA3DF7D_13</vt:lpwstr>
  </property>
</Properties>
</file>