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67" w:rsidRDefault="00C277CB">
      <w:pPr>
        <w:pStyle w:val="Default"/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/>
          <w:color w:val="auto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color w:val="auto"/>
          <w:sz w:val="44"/>
          <w:szCs w:val="44"/>
        </w:rPr>
        <w:t>南通师范高等专科学校</w:t>
      </w:r>
    </w:p>
    <w:p w:rsidR="00777D67" w:rsidRDefault="00C277CB">
      <w:pPr>
        <w:pStyle w:val="Default"/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/>
          <w:color w:val="auto"/>
          <w:sz w:val="44"/>
          <w:szCs w:val="44"/>
        </w:rPr>
      </w:pPr>
      <w:r>
        <w:rPr>
          <w:rFonts w:ascii="方正小标宋简体" w:eastAsia="方正小标宋简体" w:hAnsi="黑体" w:hint="eastAsia"/>
          <w:color w:val="auto"/>
          <w:sz w:val="44"/>
          <w:szCs w:val="44"/>
        </w:rPr>
        <w:t>重点教材立项建设实施方案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为进一步加强我校优质教学资源建设，打造一批具有先进教学理念、鲜明教学特色的精品教材，特制订本方案。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一、建设原则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重点教材建设应以适应高等教育发展新形势为基本原则,坚持正确的政治导向，注重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整合资源，着力</w:t>
      </w:r>
      <w:r>
        <w:rPr>
          <w:rFonts w:ascii="仿宋" w:eastAsia="仿宋" w:hAnsi="仿宋" w:hint="eastAsia"/>
          <w:color w:val="auto"/>
          <w:sz w:val="32"/>
          <w:szCs w:val="32"/>
        </w:rPr>
        <w:t>打造精品教材。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1. 注重导向原则</w:t>
      </w:r>
    </w:p>
    <w:p w:rsidR="00777D67" w:rsidRDefault="00C277CB">
      <w:pPr>
        <w:pStyle w:val="Default"/>
        <w:spacing w:line="560" w:lineRule="exact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   文科教材应以引导学生树立正确的世界观、人生观、价值观，弘扬和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践行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社会主义核心价值观为导向；理工科教材应以立足当今科学研究前沿，服务当代经济社会发展需求为导向。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2. 整合资源原则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以学科、专业建设为平台，鼓励教师联合校内外学科专家，汇聚行业内优质资源，共同打造高质量教材。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3. 打造精品原则</w:t>
      </w:r>
    </w:p>
    <w:p w:rsidR="00777D67" w:rsidRDefault="00C277CB">
      <w:pPr>
        <w:spacing w:line="560" w:lineRule="exact"/>
        <w:ind w:firstLineChars="180" w:firstLine="57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以学生为根本，以学术为基础，以学科为支撑，精编细选、精益求精，打造经得起实践检验的精品教材。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二、建设目标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“十三五”期间，学校按分类别、高水平、立体化的思路，立项建设30部左右的重点教材，其中省级重点教材10部、校级重点教材20部。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bookmarkStart w:id="1" w:name="OLE_LINK1"/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1. 分类别建设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由教务处、专业系部、品牌专业负责人、精品课程负责人牵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lastRenderedPageBreak/>
        <w:t>头建设公共基础类教材5</w:t>
      </w:r>
      <w:r w:rsid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部左右、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通识教育类教材10部左右、专业核心教材15部</w:t>
      </w:r>
      <w:bookmarkEnd w:id="1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左右。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2. 高水平建设</w:t>
      </w:r>
    </w:p>
    <w:p w:rsidR="00777D67" w:rsidRDefault="00C277C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学校优先支持学术造诣高、教学经验丰富的教师编写教材，优先支持优势学科、品牌、特色专业开发教材，优先支持在高水平出版社出版教材。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3. 立体化建设</w:t>
      </w:r>
    </w:p>
    <w:p w:rsidR="00777D67" w:rsidRDefault="00C277C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鼓励以纸质教材为基础，以现代教育技术为依托，整合多媒介、多形态、多层次教学资源建设立体化教材，最大限度地满足教学和学习需要。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三、建设办法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1. 校教学指导委员会负责学校“十三五”规划教材建设项目的审批、指导和监督。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2. 重点立项教材分为新编教材和修订教材。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新编教材是指反映学科行业新知识、新技术、新成果，内容创新、富有特色的教材及配套的电子教材，立项后两年内出版。新编教材需提供编写提纲及样稿、工作方案（包括编写队伍、编辑力量、经费保障、出版、发行等内容）、出版社选题规划意见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修订教材是指出版2年以上（以版权页的出版时间为准），经过教学实践检验、使用效果好且有修订计划，能在立项后2年内实现再版的教材。修订教材需提供教材样书、修订计划书（包括修订原因、修订方案等）、出版社选题规划意见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马克思主义理论研究和建设工程重点教材由国家统一组织和规划，不纳入学校组织编写范围。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lastRenderedPageBreak/>
        <w:t>3. 申报重点教材立项建设的负责人须是我校具有高级职称的教师（包括离退休教师）。同一课程的分册教材或成套教材应合并申报。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四、建设要求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1．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教材能够与时俱进，适应经济社会发展和科技进步的要求，遵循教育教学规律，体现先进教学理念，反映人才培养模式和教学改革的最新成果，充分运用现代教育技术、方法与手段，</w:t>
      </w:r>
      <w:proofErr w:type="gramStart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经教学</w:t>
      </w:r>
      <w:proofErr w:type="gramEnd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实践检验效果显著，反映区域特色与学校特点。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2．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师范专业重点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教材能全面准确地阐述本学科先进理论与概念，充分吸收本学科国内外前沿研究成果，科学系统地归纳本学科知识点的相互联系与发展规律；高职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专业重点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教材能注重吸收行业发展的新知识、新技术、新工艺、新方法，对接职业标准和岗位要求，丰富实践教学内容，注重吸收产业文化和优秀企业文化。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3．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以学生为本，符合人才培养目标，符合教学规律和认知规律，注重素质教育，具有启发性，富有特色，能够激发学生学习兴趣；实际使用效果好，深受师生广泛好评，有效提高教学质量，有利于培养学生的学习能力、实践能力和创新创业能力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4．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的呈现形式多样化，注重运用现代信息技术，使教材更加生活化、情景化、动态化、形象化；积极开发补充性、更新性和延伸性教辅资料，以及网络课程、虚拟仿真实训平台、工作过程模拟软件、通用主题素材库以及</w:t>
      </w:r>
      <w:proofErr w:type="gramStart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名师名课音像制品</w:t>
      </w:r>
      <w:proofErr w:type="gramEnd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等多种形式的数字化教学资源，具备动态、共享的课程教材资源库。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lastRenderedPageBreak/>
        <w:t>5．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的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主编在相关专业领域具有丰富的教学经验、较强的研究能力和丰富的实践阅历；教材编写团队结构合理、实力较强；高职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专业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教材主编应有企业实践经验，作者队伍应吸收行业企业人员参加。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6．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应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编写层次分明，条理清楚；文字规范，语言流畅；图表准确，配合恰当；计量单位符合标准；装帧设计大方美观，与教材内容相辅相成；印刷质量好，墨色均匀，校对差错率低。</w:t>
      </w:r>
    </w:p>
    <w:p w:rsidR="00777D67" w:rsidRPr="00250CA1" w:rsidRDefault="00C277CB" w:rsidP="00250CA1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50CA1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五</w:t>
      </w:r>
      <w:r w:rsidRPr="00250CA1">
        <w:rPr>
          <w:rFonts w:ascii="黑体" w:eastAsia="黑体" w:hAnsi="黑体" w:cs="Times New Roman"/>
          <w:color w:val="auto"/>
          <w:kern w:val="2"/>
          <w:sz w:val="32"/>
          <w:szCs w:val="32"/>
        </w:rPr>
        <w:t>、遴选办法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1．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每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两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年组织一次重点教材遴选立项工作。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2．申报重点教材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建设项目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，应填写《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南通师范高等专科学校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重点教材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建设项目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申报表》。修订教材需提供教材样书和修订计划书（包括修订原因、修订方案等）；新编教材需提供编写提纲及样稿、工作方案（包括编写队伍、编辑力量、经费保障、出版、发行、服务及培训等内容）和论证报告（由出版单位出具）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3．申报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教材须由本校教师任第一主编或第一编著者，同一主编、同一课程、不同出版单位的教材不可重复申报。同一课程的分册教材（如上、中、下册，教材+教师用书+学生用书+非独立实训教材等）应合并申报。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4．在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个人或团队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申报的基础上，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将组织专家评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、网上公示，经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审定后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公布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当年的重点教材立项建设名单。</w:t>
      </w:r>
    </w:p>
    <w:p w:rsidR="00777D67" w:rsidRPr="00250CA1" w:rsidRDefault="00C277CB" w:rsidP="00250CA1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50CA1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六</w:t>
      </w:r>
      <w:r w:rsidRPr="00250CA1">
        <w:rPr>
          <w:rFonts w:ascii="黑体" w:eastAsia="黑体" w:hAnsi="黑体" w:cs="Times New Roman"/>
          <w:color w:val="auto"/>
          <w:kern w:val="2"/>
          <w:sz w:val="32"/>
          <w:szCs w:val="32"/>
        </w:rPr>
        <w:t>、建设管理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立项建设的重点教材，建设周期一般为2年，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结项成果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应为正式出版的教材。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lastRenderedPageBreak/>
        <w:t xml:space="preserve">1. 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学校给予立项重点教材建设项目一定的经费资助。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具体资助标准与报支办法另发文公布。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2. 立项重点建设教材应按批准文件公布的名称、内容编写出版，不得擅自变更。如有特殊情况确需变更，应由项目负责人提出书面申请，经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所在系部同意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、报教务处批准后方可变更。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3. 项目建设要严格按照立项承诺的期限完成。有特殊情况不能按期完成者，应提前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3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个月由项目负责人向教务处提交书面延期申请，且延期时间不得超过1年。对未能按期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结项且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未申请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延期结项者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，将取消立项并视具体情况全部或部分追回立项经费，项目负责人3年内不得再次申报重点教材建设立项。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4. 学校不定期组织专家对已出版的学校“十三五”重点教材进行检查，如存在政治导向等重大问题的，全部或部分追回资助资金。</w:t>
      </w:r>
    </w:p>
    <w:p w:rsidR="00777D67" w:rsidRPr="00250CA1" w:rsidRDefault="00250CA1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="00C277CB"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. 获省级（含）以上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立项或奖励的重点教材，主编教师在职称评审、学校年度考核中，可适当</w:t>
      </w:r>
      <w:r w:rsidR="00C277CB"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换算为相应等级的教学工作量或科研工作量。</w:t>
      </w:r>
    </w:p>
    <w:p w:rsidR="00777D67" w:rsidRPr="00250CA1" w:rsidRDefault="00C277CB" w:rsidP="00250CA1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50CA1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七、其他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本办法自公布之日起施行，由教务处负责解释。</w:t>
      </w:r>
    </w:p>
    <w:p w:rsidR="00777D67" w:rsidRPr="00250CA1" w:rsidRDefault="00777D67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sectPr w:rsidR="00777D67" w:rsidRPr="00250CA1" w:rsidSect="00777D67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11" w:rsidRDefault="00331011" w:rsidP="00250CA1">
      <w:r>
        <w:separator/>
      </w:r>
    </w:p>
  </w:endnote>
  <w:endnote w:type="continuationSeparator" w:id="0">
    <w:p w:rsidR="00331011" w:rsidRDefault="00331011" w:rsidP="0025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11" w:rsidRDefault="00331011" w:rsidP="00250CA1">
      <w:r>
        <w:separator/>
      </w:r>
    </w:p>
  </w:footnote>
  <w:footnote w:type="continuationSeparator" w:id="0">
    <w:p w:rsidR="00331011" w:rsidRDefault="00331011" w:rsidP="00250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45EE"/>
    <w:rsid w:val="00120A03"/>
    <w:rsid w:val="00123147"/>
    <w:rsid w:val="00250CA1"/>
    <w:rsid w:val="00331011"/>
    <w:rsid w:val="003E38C6"/>
    <w:rsid w:val="006E5043"/>
    <w:rsid w:val="007221BA"/>
    <w:rsid w:val="00777D67"/>
    <w:rsid w:val="008760C3"/>
    <w:rsid w:val="00914D08"/>
    <w:rsid w:val="009360C7"/>
    <w:rsid w:val="009D6E81"/>
    <w:rsid w:val="00C04711"/>
    <w:rsid w:val="00C277CB"/>
    <w:rsid w:val="00F078F9"/>
    <w:rsid w:val="00F16BA9"/>
    <w:rsid w:val="00F76966"/>
    <w:rsid w:val="17C57701"/>
    <w:rsid w:val="1D701323"/>
    <w:rsid w:val="39C01140"/>
    <w:rsid w:val="5039489B"/>
    <w:rsid w:val="54CE45EE"/>
    <w:rsid w:val="6081385F"/>
    <w:rsid w:val="64AD6AB5"/>
    <w:rsid w:val="684512B3"/>
    <w:rsid w:val="773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D67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7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77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77D67"/>
  </w:style>
  <w:style w:type="paragraph" w:customStyle="1" w:styleId="Default">
    <w:name w:val="Default"/>
    <w:uiPriority w:val="99"/>
    <w:qFormat/>
    <w:rsid w:val="00777D67"/>
    <w:pPr>
      <w:widowControl w:val="0"/>
      <w:autoSpaceDE w:val="0"/>
      <w:autoSpaceDN w:val="0"/>
      <w:adjustRightInd w:val="0"/>
    </w:pPr>
    <w:rPr>
      <w:rFonts w:ascii="Arial Unicode MS" w:eastAsia="Times New Roman" w:hAnsi="Calibri" w:cs="Arial Unicode MS"/>
      <w:color w:val="000000"/>
      <w:sz w:val="24"/>
      <w:szCs w:val="24"/>
    </w:rPr>
  </w:style>
  <w:style w:type="character" w:customStyle="1" w:styleId="Char">
    <w:name w:val="页眉 Char"/>
    <w:basedOn w:val="a0"/>
    <w:link w:val="a4"/>
    <w:qFormat/>
    <w:rsid w:val="00777D67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D67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7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77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77D67"/>
  </w:style>
  <w:style w:type="paragraph" w:customStyle="1" w:styleId="Default">
    <w:name w:val="Default"/>
    <w:uiPriority w:val="99"/>
    <w:qFormat/>
    <w:rsid w:val="00777D67"/>
    <w:pPr>
      <w:widowControl w:val="0"/>
      <w:autoSpaceDE w:val="0"/>
      <w:autoSpaceDN w:val="0"/>
      <w:adjustRightInd w:val="0"/>
    </w:pPr>
    <w:rPr>
      <w:rFonts w:ascii="Arial Unicode MS" w:eastAsia="Times New Roman" w:hAnsi="Calibri" w:cs="Arial Unicode MS"/>
      <w:color w:val="000000"/>
      <w:sz w:val="24"/>
      <w:szCs w:val="24"/>
    </w:rPr>
  </w:style>
  <w:style w:type="character" w:customStyle="1" w:styleId="Char">
    <w:name w:val="页眉 Char"/>
    <w:basedOn w:val="a0"/>
    <w:link w:val="a4"/>
    <w:qFormat/>
    <w:rsid w:val="00777D67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2127</Characters>
  <Application>Microsoft Office Word</Application>
  <DocSecurity>0</DocSecurity>
  <Lines>17</Lines>
  <Paragraphs>4</Paragraphs>
  <ScaleCrop>false</ScaleCrop>
  <Company>P R C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孙孝明</dc:creator>
  <cp:lastModifiedBy>admin</cp:lastModifiedBy>
  <cp:revision>2</cp:revision>
  <dcterms:created xsi:type="dcterms:W3CDTF">2019-04-02T12:39:00Z</dcterms:created>
  <dcterms:modified xsi:type="dcterms:W3CDTF">2019-04-02T12:39:00Z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